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865" w:rsidRPr="00E20865" w:rsidRDefault="00E20865" w:rsidP="00E20865">
      <w:p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УДК 620.197.6</w:t>
      </w:r>
    </w:p>
    <w:p w:rsidR="001709E2" w:rsidRPr="00E20865" w:rsidRDefault="00E20865" w:rsidP="00E208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Лакокрасочные покрытия, предназначенные для арктических и субарктических условий, в том числе экстремальных</w:t>
      </w:r>
    </w:p>
    <w:p w:rsidR="001709E2" w:rsidRDefault="001709E2" w:rsidP="00E2086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Кондрашов</w:t>
      </w:r>
      <w:r w:rsidR="00E20865" w:rsidRPr="00E208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Э.К.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208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Нефедов</w:t>
      </w:r>
      <w:r w:rsidR="00E20865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Н.И.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Веренинова</w:t>
      </w:r>
      <w:r w:rsidR="00E20865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Н.П.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, Белова</w:t>
      </w:r>
      <w:r w:rsidR="00E20865"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М.В.</w:t>
      </w:r>
    </w:p>
    <w:p w:rsidR="00E20865" w:rsidRPr="00E20865" w:rsidRDefault="003B68A4" w:rsidP="00E2086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6" w:history="1">
        <w:r w:rsidR="00E20865" w:rsidRPr="00E20865">
          <w:rPr>
            <w:rFonts w:ascii="Times New Roman" w:hAnsi="Times New Roman" w:cs="Times New Roman"/>
            <w:i/>
            <w:iCs/>
            <w:color w:val="0000FF" w:themeColor="hyperlink"/>
            <w:sz w:val="28"/>
            <w:szCs w:val="28"/>
            <w:u w:val="single"/>
            <w:lang w:val="en-US"/>
          </w:rPr>
          <w:t>nefedovni</w:t>
        </w:r>
        <w:r w:rsidR="00E20865" w:rsidRPr="00E20865">
          <w:rPr>
            <w:rFonts w:ascii="Times New Roman" w:hAnsi="Times New Roman" w:cs="Times New Roman"/>
            <w:i/>
            <w:iCs/>
            <w:color w:val="0000FF" w:themeColor="hyperlink"/>
            <w:sz w:val="28"/>
            <w:szCs w:val="28"/>
            <w:u w:val="single"/>
          </w:rPr>
          <w:t>@</w:t>
        </w:r>
        <w:r w:rsidR="00E20865" w:rsidRPr="00E20865">
          <w:rPr>
            <w:rFonts w:ascii="Times New Roman" w:hAnsi="Times New Roman" w:cs="Times New Roman"/>
            <w:i/>
            <w:iCs/>
            <w:color w:val="0000FF" w:themeColor="hyperlink"/>
            <w:sz w:val="28"/>
            <w:szCs w:val="28"/>
            <w:u w:val="single"/>
            <w:lang w:val="en-US"/>
          </w:rPr>
          <w:t>viam</w:t>
        </w:r>
        <w:r w:rsidR="00E20865" w:rsidRPr="00E20865">
          <w:rPr>
            <w:rFonts w:ascii="Times New Roman" w:hAnsi="Times New Roman" w:cs="Times New Roman"/>
            <w:i/>
            <w:iCs/>
            <w:color w:val="0000FF" w:themeColor="hyperlink"/>
            <w:sz w:val="28"/>
            <w:szCs w:val="28"/>
            <w:u w:val="single"/>
          </w:rPr>
          <w:t>.ru</w:t>
        </w:r>
      </w:hyperlink>
    </w:p>
    <w:p w:rsidR="001709E2" w:rsidRPr="00E20865" w:rsidRDefault="001709E2" w:rsidP="00E2086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20865">
        <w:rPr>
          <w:rFonts w:ascii="Times New Roman" w:hAnsi="Times New Roman" w:cs="Times New Roman"/>
          <w:i/>
          <w:iCs/>
          <w:sz w:val="28"/>
          <w:szCs w:val="28"/>
        </w:rPr>
        <w:t>ФГУП</w:t>
      </w:r>
      <w:r w:rsidR="00E20865" w:rsidRPr="00E20865">
        <w:rPr>
          <w:rFonts w:ascii="Times New Roman" w:hAnsi="Times New Roman" w:cs="Times New Roman"/>
          <w:i/>
          <w:iCs/>
          <w:sz w:val="28"/>
          <w:szCs w:val="28"/>
        </w:rPr>
        <w:t xml:space="preserve"> Всероссийский научно-исследовательский институт авиационных материалов</w:t>
      </w:r>
      <w:r w:rsidRPr="00E2086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20865" w:rsidRPr="00E20865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E20865">
        <w:rPr>
          <w:rFonts w:ascii="Times New Roman" w:hAnsi="Times New Roman" w:cs="Times New Roman"/>
          <w:i/>
          <w:iCs/>
          <w:sz w:val="28"/>
          <w:szCs w:val="28"/>
        </w:rPr>
        <w:t>ВИАМ</w:t>
      </w:r>
      <w:r w:rsidR="00E20865" w:rsidRPr="00E20865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E2086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E20865" w:rsidRPr="00E20865">
        <w:rPr>
          <w:rFonts w:ascii="Times New Roman" w:hAnsi="Times New Roman" w:cs="Times New Roman"/>
          <w:i/>
          <w:iCs/>
          <w:sz w:val="28"/>
          <w:szCs w:val="28"/>
        </w:rPr>
        <w:t xml:space="preserve">г. </w:t>
      </w:r>
      <w:r w:rsidRPr="00E20865">
        <w:rPr>
          <w:rFonts w:ascii="Times New Roman" w:hAnsi="Times New Roman" w:cs="Times New Roman"/>
          <w:i/>
          <w:iCs/>
          <w:sz w:val="28"/>
          <w:szCs w:val="28"/>
        </w:rPr>
        <w:t>Москва</w:t>
      </w:r>
      <w:r w:rsidR="00E20865" w:rsidRPr="00E2086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E20865" w:rsidRDefault="00E20865" w:rsidP="00E20865">
      <w:pPr>
        <w:spacing w:before="20" w:line="360" w:lineRule="auto"/>
        <w:ind w:firstLine="709"/>
        <w:contextualSpacing/>
        <w:jc w:val="both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E20865" w:rsidRPr="005E1856" w:rsidRDefault="00E20865" w:rsidP="00E20865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5E1856">
        <w:rPr>
          <w:rFonts w:ascii="Times New Roman" w:hAnsi="Times New Roman"/>
          <w:b/>
          <w:i/>
          <w:sz w:val="28"/>
          <w:szCs w:val="28"/>
        </w:rPr>
        <w:t xml:space="preserve">Аннотация: </w:t>
      </w:r>
    </w:p>
    <w:p w:rsidR="00E20865" w:rsidRDefault="00E20865" w:rsidP="00E20865">
      <w:pPr>
        <w:spacing w:before="2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856">
        <w:rPr>
          <w:rFonts w:ascii="Times New Roman" w:hAnsi="Times New Roman"/>
          <w:sz w:val="28"/>
          <w:szCs w:val="28"/>
        </w:rPr>
        <w:t xml:space="preserve">В докладе представлены </w:t>
      </w:r>
      <w:r w:rsidRPr="00E2086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Лакокрасочные покрытия, предназначенные для арктических и субарктических условий</w:t>
      </w:r>
    </w:p>
    <w:p w:rsidR="00E20865" w:rsidRPr="005E1856" w:rsidRDefault="00E20865" w:rsidP="00E20865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20865" w:rsidRPr="005E1856" w:rsidRDefault="00E20865" w:rsidP="00E20865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5E1856">
        <w:rPr>
          <w:rFonts w:ascii="Times New Roman" w:hAnsi="Times New Roman"/>
          <w:b/>
          <w:i/>
          <w:sz w:val="28"/>
          <w:szCs w:val="28"/>
        </w:rPr>
        <w:t xml:space="preserve">Ключевые слова: </w:t>
      </w:r>
    </w:p>
    <w:p w:rsidR="00E20865" w:rsidRPr="005E1856" w:rsidRDefault="00E20865" w:rsidP="00E20865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лакокрасочные покрытия</w:t>
      </w:r>
    </w:p>
    <w:p w:rsidR="00E20865" w:rsidRDefault="00E20865" w:rsidP="00E20865">
      <w:pPr>
        <w:spacing w:after="120"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E20865" w:rsidRPr="00E20487" w:rsidRDefault="00E20865" w:rsidP="00E20865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4900C4">
        <w:rPr>
          <w:rFonts w:ascii="Times New Roman" w:hAnsi="Times New Roman"/>
          <w:b/>
          <w:i/>
          <w:sz w:val="28"/>
          <w:szCs w:val="28"/>
          <w:lang w:val="en-US"/>
        </w:rPr>
        <w:t>Abstract</w:t>
      </w:r>
      <w:r w:rsidRPr="00E20487">
        <w:rPr>
          <w:rFonts w:ascii="Times New Roman" w:hAnsi="Times New Roman"/>
          <w:b/>
          <w:i/>
          <w:sz w:val="28"/>
          <w:szCs w:val="28"/>
        </w:rPr>
        <w:t>:</w:t>
      </w:r>
    </w:p>
    <w:p w:rsidR="00E20865" w:rsidRPr="004900C4" w:rsidRDefault="00E20865" w:rsidP="00E20865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  <w:r w:rsidRPr="00E20865">
        <w:rPr>
          <w:rFonts w:ascii="Times New Roman" w:eastAsia="Calibri" w:hAnsi="Times New Roman"/>
          <w:sz w:val="28"/>
          <w:szCs w:val="28"/>
          <w:lang w:val="en-US"/>
        </w:rPr>
        <w:t>The report provides Paint coatings designed for Arctic and sub-Arctic conditions</w:t>
      </w:r>
    </w:p>
    <w:p w:rsidR="00E20865" w:rsidRPr="00E20487" w:rsidRDefault="00E20865" w:rsidP="00E20865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4900C4">
        <w:rPr>
          <w:rFonts w:ascii="Times New Roman" w:hAnsi="Times New Roman"/>
          <w:b/>
          <w:i/>
          <w:sz w:val="28"/>
          <w:szCs w:val="28"/>
          <w:lang w:val="en-US"/>
        </w:rPr>
        <w:t>Keywords</w:t>
      </w:r>
      <w:r w:rsidRPr="00E20487">
        <w:rPr>
          <w:rFonts w:ascii="Times New Roman" w:hAnsi="Times New Roman"/>
          <w:b/>
          <w:i/>
          <w:sz w:val="28"/>
          <w:szCs w:val="28"/>
        </w:rPr>
        <w:t xml:space="preserve">: </w:t>
      </w:r>
    </w:p>
    <w:p w:rsidR="00E20865" w:rsidRPr="00E20487" w:rsidRDefault="00E20865" w:rsidP="00E20865">
      <w:pPr>
        <w:spacing w:before="2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0865">
        <w:rPr>
          <w:rFonts w:ascii="Times New Roman" w:hAnsi="Times New Roman"/>
          <w:sz w:val="28"/>
          <w:szCs w:val="28"/>
          <w:lang w:val="en-US"/>
        </w:rPr>
        <w:t>paintwork</w:t>
      </w:r>
    </w:p>
    <w:p w:rsidR="001709E2" w:rsidRPr="00E20487" w:rsidRDefault="001709E2" w:rsidP="00E20865">
      <w:pPr>
        <w:spacing w:after="0" w:line="360" w:lineRule="auto"/>
        <w:jc w:val="both"/>
        <w:rPr>
          <w:rFonts w:ascii="TimesNewRomanPS-ItalicMT" w:hAnsi="TimesNewRomanPS-ItalicMT" w:cs="TimesNewRomanPS-ItalicMT"/>
          <w:i/>
          <w:iCs/>
          <w:sz w:val="28"/>
          <w:szCs w:val="28"/>
        </w:rPr>
      </w:pPr>
    </w:p>
    <w:p w:rsidR="001709E2" w:rsidRPr="00E20865" w:rsidRDefault="001709E2" w:rsidP="00E2086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Авиационная техника уже многие десятилетия эксплуатируется в арктических и субарктических условиях </w:t>
      </w:r>
      <w:r w:rsidR="008069C3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о поведении систем лакокрасочных покрытий (ЛКП) в этих климатических зонах хорошо известно. После выработки установленного ресурса ремонт и восстановление ЛКП осуществляется в стационарных условиях на авиаремонтных заводах.</w:t>
      </w:r>
    </w:p>
    <w:p w:rsidR="008069C3" w:rsidRPr="00E20865" w:rsidRDefault="008069C3" w:rsidP="00E2086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Значительно сложнее осуществить ремонт и восстановление ЛКП инженерных сооружений и транспортных средств в арктических и субарктических условиях.</w:t>
      </w:r>
    </w:p>
    <w:p w:rsidR="005A0CBB" w:rsidRPr="00E20865" w:rsidRDefault="008069C3" w:rsidP="00E2086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Большой интерес для применения в арктических и субарктических условиях может представить разработанная в ВИАМе фторполиуретановая эмаль марки ВЭ-69 </w:t>
      </w:r>
      <w:r w:rsidR="005D3527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атмосферостойкостью 20 лет и системы покрытий с её использованием.</w:t>
      </w:r>
    </w:p>
    <w:p w:rsidR="00EC5CAC" w:rsidRPr="00E20865" w:rsidRDefault="00353A11" w:rsidP="00E2086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Атмосферостойкая фторполиуретановая эмаль ВЭ-69 рекомендуется в системах лакокрасочных покрытий </w:t>
      </w:r>
      <w:r w:rsidR="00EC5CAC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основе грунтовок ЭП-0215, ЭП-0215М, ВГ-28, исследованы  их свойства  в сравнении с применяющимися покрытиями на основе эпоксидных, полиуретановых, акрилуретановых материалов в исходном состоянии и после воздействия факторов эксплуатации. Было показано,</w:t>
      </w:r>
      <w:r w:rsidR="00957994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что системы покрытий на основе</w:t>
      </w:r>
      <w:r w:rsidR="00EC5CAC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фторполиуретановой эмали ВЭ-69 в 1,2 раза превосходят аналоги – серийно применяемые для окраски авиатехники по</w:t>
      </w:r>
      <w:r w:rsidR="007D0E11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лиуретановые  эмали  УР-1161 и</w:t>
      </w:r>
      <w:r w:rsidR="00EC5CAC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Аеrodur C21/100UVR (</w:t>
      </w:r>
      <w:r w:rsidR="007D0E11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Нидерланды</w:t>
      </w:r>
      <w:r w:rsidR="00EC5CAC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по стойкости к царапанию после воздействия агрессивных факторов (1400 г вместо 1200 г), по атмосферостойкости (потеря блеска 5 % вместо 12-25%), являются более грибостойкими (балл 1-2 вместо 3), обеспечивают защиту от  коррозии алюминиевых, магниевых сплавов и сталей (в течение 3600 ч в КСТ-35) и превосходят по защитным свойствам серийную систему покрытий на основе эпоксидной эмали ЭП-140 (рис. 1).</w:t>
      </w:r>
    </w:p>
    <w:p w:rsidR="007D0E11" w:rsidRPr="00E20865" w:rsidRDefault="003B68A4" w:rsidP="00E20865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B68A4">
        <w:rPr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319.8pt;margin-top:176.4pt;width:27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">
            <v:textbox>
              <w:txbxContent>
                <w:p w:rsidR="007D0E11" w:rsidRPr="00ED5780" w:rsidRDefault="007D0E11" w:rsidP="00B5458D">
                  <w:pPr>
                    <w:jc w:val="center"/>
                    <w:rPr>
                      <w:b/>
                    </w:rPr>
                  </w:pPr>
                  <w:r w:rsidRPr="00ED5780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 w:rsidRPr="003B68A4">
        <w:rPr>
          <w:noProof/>
          <w:sz w:val="28"/>
          <w:szCs w:val="28"/>
          <w:lang w:eastAsia="ru-RU"/>
        </w:rPr>
        <w:pict>
          <v:shape id="Поле 2" o:spid="_x0000_s1027" type="#_x0000_t202" style="position:absolute;left:0;text-align:left;margin-left:206.55pt;margin-top:182.4pt;width:27pt;height:1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">
            <v:textbox>
              <w:txbxContent>
                <w:p w:rsidR="007D0E11" w:rsidRPr="00ED5780" w:rsidRDefault="007D0E11" w:rsidP="00B5458D">
                  <w:pPr>
                    <w:jc w:val="center"/>
                    <w:rPr>
                      <w:b/>
                    </w:rPr>
                  </w:pPr>
                  <w:r w:rsidRPr="00ED5780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 w:rsidR="007D0E11" w:rsidRPr="00E20865">
        <w:rPr>
          <w:noProof/>
          <w:sz w:val="28"/>
          <w:szCs w:val="28"/>
          <w:lang w:eastAsia="ru-RU"/>
        </w:rPr>
        <w:drawing>
          <wp:inline distT="0" distB="0" distL="0" distR="0">
            <wp:extent cx="2752725" cy="2497680"/>
            <wp:effectExtent l="0" t="0" r="0" b="0"/>
            <wp:docPr id="1" name="Рисунок 1" descr="Образцы__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разцы__00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1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458" t="5736" r="12979" b="8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49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0865" w:rsidRPr="00E20865" w:rsidRDefault="00E20865" w:rsidP="00E20865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208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 –  система ЛКП на основе эмали ЭП-140; 2 – система ЛКП на основе эмали ВЭ-69</w:t>
      </w:r>
    </w:p>
    <w:p w:rsidR="007D0E11" w:rsidRPr="00E20865" w:rsidRDefault="007D0E11" w:rsidP="00E20865">
      <w:pPr>
        <w:spacing w:after="0" w:line="360" w:lineRule="auto"/>
        <w:ind w:left="708" w:firstLine="708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0" w:name="_GoBack"/>
      <w:bookmarkEnd w:id="0"/>
      <w:r w:rsidRPr="00E208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Рисунок 1  Внешний вид образцов Ст.20  после испытания в КСТ.</w:t>
      </w:r>
    </w:p>
    <w:p w:rsidR="00E20865" w:rsidRDefault="00E20865" w:rsidP="00E2086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53A11" w:rsidRPr="00E20865" w:rsidRDefault="00EC5CAC" w:rsidP="00E2086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Разработанные системы покрытий рекомендуются для обеспечения антикорро</w:t>
      </w:r>
      <w:r w:rsidR="007D0E11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зионной защиты конструкций из </w:t>
      </w:r>
      <w:r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алюминиевых, магниевых сплавов, сталей, а также  для защиты от атмосферных воздействий полимерных композиционных материалов в транспортном машиностроении, химической, авиационной промышленности, судостроении и строительстве, в т.ч</w:t>
      </w:r>
      <w:r w:rsidR="007D0E11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для окраски авиационной техники, вагонов, для защиты химической аппаратуры, хранилищ нефтепродуктов, аппаратуры пищевой промышленности, бетонных сооружений, оборудования литейных цехов, т.е. конструкций для которых требуется длительная защита от факторов внешней </w:t>
      </w:r>
      <w:r w:rsidR="007D0E11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среды и агрессивных жидкостей. </w:t>
      </w:r>
      <w:r w:rsidR="00353A11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Покрытия могут эксплуатироваться при температуре от минус 60 °С до плюс  120 °С во всеклиматических условиях.</w:t>
      </w:r>
    </w:p>
    <w:p w:rsidR="005A0CBB" w:rsidRPr="00E20865" w:rsidRDefault="005A0CBB" w:rsidP="00E2086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Одной из проблем, возникающих при эксплуатации инженерных сооружений и транспортных средств в арктических и субарктических условиях, является снегоналипание и обледенение, что связано с величиной краевого угла смачивания ЛКП.</w:t>
      </w:r>
    </w:p>
    <w:p w:rsidR="005A0CBB" w:rsidRPr="00E20865" w:rsidRDefault="005A0CBB" w:rsidP="00E208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865">
        <w:rPr>
          <w:rFonts w:ascii="Times New Roman" w:hAnsi="Times New Roman" w:cs="Times New Roman"/>
          <w:sz w:val="28"/>
          <w:szCs w:val="28"/>
        </w:rPr>
        <w:t xml:space="preserve">Получение тонких фторполимерных покрытий на поверхности изделий сопряжено с технологическими сложностями из-за их плохой растворимости и высокой вязкости фторполимеров. Поэтому был разработан радиационно-химический метод синтеза растворов теломеров тетрафторэтилена (ТФЭ) в органических растворителях с общей формулой </w:t>
      </w:r>
      <w:r w:rsidRPr="00E20865">
        <w:rPr>
          <w:rFonts w:ascii="Times New Roman" w:hAnsi="Times New Roman"/>
          <w:iCs/>
          <w:noProof/>
          <w:sz w:val="28"/>
          <w:szCs w:val="28"/>
          <w:lang w:val="en-US" w:eastAsia="ru-RU"/>
        </w:rPr>
        <w:t>R</w:t>
      </w:r>
      <w:r w:rsidRPr="00E20865">
        <w:rPr>
          <w:rFonts w:ascii="Times New Roman" w:hAnsi="Times New Roman"/>
          <w:iCs/>
          <w:noProof/>
          <w:sz w:val="28"/>
          <w:szCs w:val="28"/>
          <w:vertAlign w:val="subscript"/>
          <w:lang w:eastAsia="ru-RU"/>
        </w:rPr>
        <w:t>1</w:t>
      </w:r>
      <w:r w:rsidRPr="00E20865">
        <w:rPr>
          <w:rFonts w:ascii="Times New Roman" w:hAnsi="Times New Roman"/>
          <w:iCs/>
          <w:noProof/>
          <w:sz w:val="28"/>
          <w:szCs w:val="28"/>
          <w:lang w:eastAsia="ru-RU"/>
        </w:rPr>
        <w:sym w:font="Symbol" w:char="F02D"/>
      </w:r>
      <w:r w:rsidRPr="00E20865">
        <w:rPr>
          <w:rFonts w:ascii="Times New Roman" w:hAnsi="Times New Roman"/>
          <w:iCs/>
          <w:noProof/>
          <w:sz w:val="28"/>
          <w:szCs w:val="28"/>
          <w:lang w:eastAsia="ru-RU"/>
        </w:rPr>
        <w:t>(</w:t>
      </w:r>
      <w:r w:rsidRPr="00E20865">
        <w:rPr>
          <w:rFonts w:ascii="Times New Roman" w:hAnsi="Times New Roman"/>
          <w:iCs/>
          <w:noProof/>
          <w:sz w:val="28"/>
          <w:szCs w:val="28"/>
          <w:lang w:val="en-US" w:eastAsia="ru-RU"/>
        </w:rPr>
        <w:t>C</w:t>
      </w:r>
      <w:r w:rsidRPr="00E20865">
        <w:rPr>
          <w:rFonts w:ascii="Times New Roman" w:hAnsi="Times New Roman"/>
          <w:iCs/>
          <w:noProof/>
          <w:sz w:val="28"/>
          <w:szCs w:val="28"/>
          <w:vertAlign w:val="subscript"/>
          <w:lang w:eastAsia="ru-RU"/>
        </w:rPr>
        <w:t>2</w:t>
      </w:r>
      <w:r w:rsidRPr="00E20865">
        <w:rPr>
          <w:rFonts w:ascii="Times New Roman" w:hAnsi="Times New Roman"/>
          <w:iCs/>
          <w:noProof/>
          <w:sz w:val="28"/>
          <w:szCs w:val="28"/>
          <w:lang w:val="en-US" w:eastAsia="ru-RU"/>
        </w:rPr>
        <w:t>F</w:t>
      </w:r>
      <w:r w:rsidRPr="00E20865">
        <w:rPr>
          <w:rFonts w:ascii="Times New Roman" w:hAnsi="Times New Roman"/>
          <w:iCs/>
          <w:noProof/>
          <w:sz w:val="28"/>
          <w:szCs w:val="28"/>
          <w:vertAlign w:val="subscript"/>
          <w:lang w:eastAsia="ru-RU"/>
        </w:rPr>
        <w:t>4</w:t>
      </w:r>
      <w:r w:rsidRPr="00E20865">
        <w:rPr>
          <w:rFonts w:ascii="Times New Roman" w:hAnsi="Times New Roman"/>
          <w:iCs/>
          <w:noProof/>
          <w:sz w:val="28"/>
          <w:szCs w:val="28"/>
          <w:lang w:eastAsia="ru-RU"/>
        </w:rPr>
        <w:t>)</w:t>
      </w:r>
      <w:r w:rsidRPr="00E20865">
        <w:rPr>
          <w:rFonts w:ascii="Times New Roman" w:hAnsi="Times New Roman"/>
          <w:iCs/>
          <w:noProof/>
          <w:sz w:val="28"/>
          <w:szCs w:val="28"/>
          <w:vertAlign w:val="subscript"/>
          <w:lang w:val="en-US" w:eastAsia="ru-RU"/>
        </w:rPr>
        <w:t>n</w:t>
      </w:r>
      <w:r w:rsidRPr="00E20865">
        <w:rPr>
          <w:rFonts w:ascii="Times New Roman" w:hAnsi="Times New Roman"/>
          <w:iCs/>
          <w:noProof/>
          <w:sz w:val="28"/>
          <w:szCs w:val="28"/>
          <w:lang w:val="en-US" w:eastAsia="ru-RU"/>
        </w:rPr>
        <w:sym w:font="Symbol" w:char="F02D"/>
      </w:r>
      <w:r w:rsidRPr="00E20865">
        <w:rPr>
          <w:rFonts w:ascii="Times New Roman" w:hAnsi="Times New Roman"/>
          <w:iCs/>
          <w:noProof/>
          <w:sz w:val="28"/>
          <w:szCs w:val="28"/>
          <w:lang w:val="en-US" w:eastAsia="ru-RU"/>
        </w:rPr>
        <w:t>R</w:t>
      </w:r>
      <w:r w:rsidRPr="00E20865">
        <w:rPr>
          <w:rFonts w:ascii="Times New Roman" w:hAnsi="Times New Roman"/>
          <w:iCs/>
          <w:noProof/>
          <w:sz w:val="28"/>
          <w:szCs w:val="28"/>
          <w:vertAlign w:val="subscript"/>
          <w:lang w:eastAsia="ru-RU"/>
        </w:rPr>
        <w:t>2</w:t>
      </w:r>
      <w:r w:rsidRPr="00E20865">
        <w:rPr>
          <w:rFonts w:ascii="Times New Roman" w:hAnsi="Times New Roman"/>
          <w:iCs/>
          <w:noProof/>
          <w:sz w:val="28"/>
          <w:szCs w:val="28"/>
          <w:lang w:eastAsia="ru-RU"/>
        </w:rPr>
        <w:t>,</w:t>
      </w:r>
      <w:r w:rsidRPr="00E20865">
        <w:rPr>
          <w:rFonts w:ascii="Times New Roman" w:hAnsi="Times New Roman" w:cs="Times New Roman"/>
          <w:sz w:val="28"/>
          <w:szCs w:val="28"/>
        </w:rPr>
        <w:t xml:space="preserve"> где R1 и R2 могут быть H, Cl, CH</w:t>
      </w:r>
      <w:r w:rsidRPr="00E2086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0865">
        <w:rPr>
          <w:rFonts w:ascii="Times New Roman" w:hAnsi="Times New Roman" w:cs="Times New Roman"/>
          <w:sz w:val="28"/>
          <w:szCs w:val="28"/>
        </w:rPr>
        <w:t>, COCH</w:t>
      </w:r>
      <w:r w:rsidRPr="00E2086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E20865">
        <w:rPr>
          <w:rFonts w:ascii="Times New Roman" w:hAnsi="Times New Roman" w:cs="Times New Roman"/>
          <w:sz w:val="28"/>
          <w:szCs w:val="28"/>
        </w:rPr>
        <w:t xml:space="preserve"> и др., а n &gt; 5, которые могут наноситься жидкофазным методом.</w:t>
      </w:r>
    </w:p>
    <w:p w:rsidR="001709E2" w:rsidRPr="00E20865" w:rsidRDefault="005A0CBB" w:rsidP="00E208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865">
        <w:rPr>
          <w:rFonts w:ascii="Times New Roman" w:hAnsi="Times New Roman" w:cs="Times New Roman"/>
          <w:sz w:val="28"/>
          <w:szCs w:val="28"/>
        </w:rPr>
        <w:t>Разумеется, представляет интерес изучить влияние теломеров ТФЭ на гидрофобные свойства лака ФП-5182 . В этом случае повышение гидрофобности происходит химическим способом за счет введения дополнительного гидрофобного вещества. Следует отметить, что таким способом были существенно повышены протекторные и гидрофобные свойства изделий из магниевых сплавов. Применять теломерные растворы можно двумя способами: обрабатывая поверхность покрытия или вводя во фторопластовый лак          ФП-5182.</w:t>
      </w:r>
    </w:p>
    <w:p w:rsidR="001709E2" w:rsidRPr="00E20865" w:rsidRDefault="005D3527" w:rsidP="00E20865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К некоторым категориям транспортных средств предъявляется требование по сохранению красного цвета </w:t>
      </w:r>
      <w:r w:rsidR="005A0CBB"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после воздействия температуры 1200 °С в течение 10 мин. Такое покрытие на основе кремнийорганического сополимера было разработано и испытано.</w:t>
      </w:r>
      <w:r w:rsidRPr="00E208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1709E2" w:rsidRPr="00E20865" w:rsidRDefault="001709E2" w:rsidP="00E20865">
      <w:pPr>
        <w:spacing w:after="120" w:line="36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1709E2" w:rsidRPr="00E20865" w:rsidRDefault="001709E2" w:rsidP="00E20865">
      <w:pPr>
        <w:spacing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8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Исследование выполнено за счет гранта Российского научного фонда (проект                 №14-33-00032).</w:t>
      </w:r>
    </w:p>
    <w:p w:rsidR="001709E2" w:rsidRPr="00E20865" w:rsidRDefault="001709E2" w:rsidP="00E208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09E2" w:rsidRPr="00E20865" w:rsidRDefault="001709E2" w:rsidP="00E208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0CBB" w:rsidRPr="00E20865" w:rsidRDefault="005A0CBB" w:rsidP="00E2086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5A0CBB" w:rsidRPr="00E20865" w:rsidSect="003B68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BE4" w:rsidRDefault="006C2BE4" w:rsidP="003D0F0E">
      <w:pPr>
        <w:spacing w:after="0" w:line="240" w:lineRule="auto"/>
      </w:pPr>
      <w:r>
        <w:separator/>
      </w:r>
    </w:p>
  </w:endnote>
  <w:endnote w:type="continuationSeparator" w:id="1">
    <w:p w:rsidR="006C2BE4" w:rsidRDefault="006C2BE4" w:rsidP="003D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F0E" w:rsidRDefault="003D0F0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F0E" w:rsidRDefault="003D0F0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F0E" w:rsidRDefault="003D0F0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BE4" w:rsidRDefault="006C2BE4" w:rsidP="003D0F0E">
      <w:pPr>
        <w:spacing w:after="0" w:line="240" w:lineRule="auto"/>
      </w:pPr>
      <w:r>
        <w:separator/>
      </w:r>
    </w:p>
  </w:footnote>
  <w:footnote w:type="continuationSeparator" w:id="1">
    <w:p w:rsidR="006C2BE4" w:rsidRDefault="006C2BE4" w:rsidP="003D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F0E" w:rsidRDefault="003D0F0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F0E" w:rsidRDefault="003D0F0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F0E" w:rsidRDefault="003D0F0E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8A075D"/>
    <w:rsid w:val="001709E2"/>
    <w:rsid w:val="00353A11"/>
    <w:rsid w:val="003A0948"/>
    <w:rsid w:val="003B68A4"/>
    <w:rsid w:val="003D0F0E"/>
    <w:rsid w:val="00585ADC"/>
    <w:rsid w:val="005A0CBB"/>
    <w:rsid w:val="005D3527"/>
    <w:rsid w:val="00660E09"/>
    <w:rsid w:val="006C2BE4"/>
    <w:rsid w:val="007D0E11"/>
    <w:rsid w:val="008069C3"/>
    <w:rsid w:val="008A075D"/>
    <w:rsid w:val="00957994"/>
    <w:rsid w:val="00E20487"/>
    <w:rsid w:val="00E20865"/>
    <w:rsid w:val="00EC5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9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D0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D0F0E"/>
  </w:style>
  <w:style w:type="paragraph" w:styleId="a7">
    <w:name w:val="footer"/>
    <w:basedOn w:val="a"/>
    <w:link w:val="a8"/>
    <w:uiPriority w:val="99"/>
    <w:semiHidden/>
    <w:unhideWhenUsed/>
    <w:rsid w:val="003D0F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D0F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0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09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nefedovni@viam.ru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691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2015-12-03T10:04:00Z</dcterms:created>
  <dcterms:modified xsi:type="dcterms:W3CDTF">2015-12-03T10:04:00Z</dcterms:modified>
</cp:coreProperties>
</file>